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477" w:rsidRDefault="00A00477" w:rsidP="00A00477">
      <w:pPr>
        <w:spacing w:after="0" w:line="280" w:lineRule="atLeast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A00477" w:rsidRDefault="00A00477" w:rsidP="00A00477">
      <w:pPr>
        <w:spacing w:after="0" w:line="280" w:lineRule="atLeast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БАЙКАЛЬСКОГО СЕЛЬСОВЕТА</w:t>
      </w:r>
    </w:p>
    <w:p w:rsidR="00A00477" w:rsidRDefault="00A00477" w:rsidP="00A00477">
      <w:pPr>
        <w:spacing w:after="0" w:line="280" w:lineRule="atLeast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БОЛОТНИНСКОГО РАЙОНА НОВОСИБИРСКОЙ ОБЛАСТИ</w:t>
      </w:r>
    </w:p>
    <w:p w:rsidR="00A00477" w:rsidRDefault="00A00477" w:rsidP="00A00477">
      <w:pPr>
        <w:spacing w:after="0" w:line="280" w:lineRule="atLeast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00477" w:rsidRDefault="00A00477" w:rsidP="00A00477">
      <w:pPr>
        <w:spacing w:after="0" w:line="280" w:lineRule="atLeast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00477" w:rsidRDefault="00A00477" w:rsidP="00A00477">
      <w:pPr>
        <w:spacing w:after="0" w:line="280" w:lineRule="atLeast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00477" w:rsidRDefault="00557408" w:rsidP="00A00477">
      <w:pPr>
        <w:spacing w:after="0" w:line="280" w:lineRule="atLeas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     от 03.10.2018     </w:t>
      </w:r>
      <w:r w:rsidR="00A00477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            </w:t>
      </w:r>
      <w:r w:rsidR="006B1864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A0047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№  116</w:t>
      </w:r>
    </w:p>
    <w:p w:rsidR="00A00477" w:rsidRDefault="00A00477" w:rsidP="00A00477">
      <w:pPr>
        <w:spacing w:after="0" w:line="28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д. Байкал</w:t>
      </w:r>
    </w:p>
    <w:p w:rsidR="00A00477" w:rsidRDefault="00A00477" w:rsidP="00A0047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       Об утверждении Плана действий по ликвидации последствий аварийных ситуаций на системах теплоснабжения с применением электронного моделирования аварийных ситуаций, при взаимодействии тепл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о-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электро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>- и водоснабжающих организаций, а также служб ЖКХ расположенных на территории Байкальского сельсовета Болотнинского района Новосибирской области на период отопительного сезона 201</w:t>
      </w:r>
      <w:r w:rsidR="00557408">
        <w:rPr>
          <w:rFonts w:ascii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-201</w:t>
      </w:r>
      <w:r w:rsidR="00557408">
        <w:rPr>
          <w:rFonts w:ascii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гг.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      В соответствии с Федеральным законом от 06.10.2003г. № 131- ФЗ «Об общих принципах организации местного самоуправления Р</w:t>
      </w:r>
      <w:r w:rsidR="00557408">
        <w:rPr>
          <w:rFonts w:ascii="Times New Roman" w:hAnsi="Times New Roman" w:cs="Times New Roman"/>
          <w:sz w:val="28"/>
          <w:szCs w:val="28"/>
          <w:lang w:eastAsia="ru-RU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», Федеральным законом от 27.07.2010 № 90-ФЗ «О теплоснабжении», руководствуясь Уставом Байкальского сельсовета Болотнинского района Новосибирской области:</w:t>
      </w:r>
    </w:p>
    <w:p w:rsidR="00A00477" w:rsidRDefault="00A00477" w:rsidP="00A0047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ПОСТАНОВЛЯЕТ:</w:t>
      </w:r>
    </w:p>
    <w:p w:rsidR="00A00477" w:rsidRDefault="00A00477" w:rsidP="00A0047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Утвердить прилагаемый План ликвидации аварийных ситуаций на системах теплоснабжения с учётом взаимодействия тепл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электро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- и водоснабжающих организаций, а также служб ЖКХ на территории Байкальского сельсовета Болотнинского района Новосибирской области.</w:t>
      </w:r>
    </w:p>
    <w:p w:rsidR="00A00477" w:rsidRDefault="00A00477" w:rsidP="00A0047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Опубликовать данное постановление в </w:t>
      </w:r>
      <w:r w:rsidR="00557408">
        <w:rPr>
          <w:rFonts w:ascii="Times New Roman" w:hAnsi="Times New Roman" w:cs="Times New Roman"/>
          <w:sz w:val="28"/>
          <w:szCs w:val="28"/>
          <w:lang w:eastAsia="ru-RU"/>
        </w:rPr>
        <w:t>периодическом печатном издании «Официальный вестник Байкальского сельсовета»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разместить на сайте администрации Байкальского сельсовета</w:t>
      </w:r>
    </w:p>
    <w:p w:rsidR="00A00477" w:rsidRDefault="00A00477" w:rsidP="00A0047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исполнением настоящего постановления оставляю за собой.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A00477" w:rsidRDefault="00A00477" w:rsidP="00A00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Глава Байкальского сельсовета</w:t>
      </w:r>
    </w:p>
    <w:p w:rsidR="00A00477" w:rsidRDefault="00A00477" w:rsidP="00A00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Болотнинского района Новосибирской области                            В.Ф. Козловский</w:t>
      </w:r>
    </w:p>
    <w:p w:rsidR="00A00477" w:rsidRDefault="00A00477" w:rsidP="00A00477">
      <w:pPr>
        <w:jc w:val="both"/>
        <w:rPr>
          <w:sz w:val="28"/>
          <w:szCs w:val="28"/>
        </w:rPr>
      </w:pPr>
    </w:p>
    <w:p w:rsidR="00A00477" w:rsidRDefault="00A00477" w:rsidP="00A00477">
      <w:pPr>
        <w:spacing w:after="0" w:line="280" w:lineRule="atLeast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0477" w:rsidRDefault="00A00477" w:rsidP="00A00477">
      <w:pPr>
        <w:spacing w:after="0" w:line="280" w:lineRule="atLeast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0477" w:rsidRDefault="00A00477" w:rsidP="00A00477">
      <w:pPr>
        <w:spacing w:after="0" w:line="280" w:lineRule="atLeast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0477" w:rsidRDefault="00A00477" w:rsidP="00A00477">
      <w:pPr>
        <w:spacing w:after="0" w:line="280" w:lineRule="atLeast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0477" w:rsidRDefault="00A00477" w:rsidP="00A00477">
      <w:pPr>
        <w:spacing w:after="0" w:line="280" w:lineRule="atLeast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0477" w:rsidRDefault="00A00477" w:rsidP="00A00477">
      <w:pPr>
        <w:spacing w:after="0" w:line="280" w:lineRule="atLeast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00477" w:rsidRDefault="00A00477" w:rsidP="00A00477">
      <w:pPr>
        <w:spacing w:after="0" w:line="280" w:lineRule="atLeast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УТВЕРЖДЁН</w:t>
      </w:r>
    </w:p>
    <w:p w:rsidR="00A00477" w:rsidRDefault="00A00477" w:rsidP="00A00477">
      <w:pPr>
        <w:spacing w:after="0" w:line="280" w:lineRule="atLeast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постановлением администрации</w:t>
      </w:r>
    </w:p>
    <w:p w:rsidR="00A00477" w:rsidRDefault="00A00477" w:rsidP="00A00477">
      <w:pPr>
        <w:spacing w:after="0" w:line="280" w:lineRule="atLeast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Байкальского сельсовета </w:t>
      </w:r>
    </w:p>
    <w:p w:rsidR="00A00477" w:rsidRDefault="00A00477" w:rsidP="00A00477">
      <w:pPr>
        <w:spacing w:after="0" w:line="280" w:lineRule="atLeast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Болотнинского района Новосибирской области</w:t>
      </w:r>
    </w:p>
    <w:p w:rsidR="00A00477" w:rsidRDefault="00557408" w:rsidP="00A00477">
      <w:pPr>
        <w:spacing w:after="0" w:line="280" w:lineRule="atLeast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  03.10.2018   № 116</w:t>
      </w:r>
    </w:p>
    <w:p w:rsidR="00A00477" w:rsidRDefault="00A00477" w:rsidP="00A0047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ПЛАН</w:t>
      </w:r>
    </w:p>
    <w:p w:rsidR="00A00477" w:rsidRDefault="00A00477" w:rsidP="00A0047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действий по ликвидации последствий аварийных ситуаций на системах теплоснабжения Байкальского сельсовета Болотнинского района Новосибирской области</w:t>
      </w:r>
    </w:p>
    <w:p w:rsidR="00A00477" w:rsidRDefault="00A00477" w:rsidP="00A0047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Раздел 1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Краткая характеристика тепловых сетей, потребителей тепловой энергии и оценка возможной обстановки при возникновении аварий</w:t>
      </w:r>
    </w:p>
    <w:p w:rsidR="00A00477" w:rsidRDefault="00A00477" w:rsidP="00A00477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Климат и погодно-климатические явления оказывающие влияние на эксплуатацию тепловых сетей</w:t>
      </w:r>
    </w:p>
    <w:p w:rsidR="00A00477" w:rsidRDefault="00A00477" w:rsidP="00A00477">
      <w:pPr>
        <w:spacing w:before="100" w:beforeAutospacing="1" w:after="100" w:afterAutospacing="1" w:line="240" w:lineRule="auto"/>
        <w:ind w:left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Климат территории Байкальского сельсовета относится  к континентальному типу с холодной зимой и жарким летом. Для него характерны резкие колебания температуры и осадков. Среднегодовая температура воздуха – 0,2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>
        <w:rPr>
          <w:rFonts w:ascii="Times New Roman" w:hAnsi="Times New Roman" w:cs="Times New Roman"/>
          <w:sz w:val="28"/>
          <w:szCs w:val="28"/>
        </w:rPr>
        <w:t>С. Кратковременность вегетационного периода компенсируется сравнительно большой суммой положительных температур выше 10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С, составляющей 1926. в среднем продолжительность безморозного периода составляет 117 дней. Случается, что заморозки бывают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декаде августа.</w:t>
      </w:r>
    </w:p>
    <w:p w:rsidR="00A00477" w:rsidRDefault="00A00477" w:rsidP="00A00477">
      <w:pPr>
        <w:spacing w:before="100" w:beforeAutospacing="1" w:after="100" w:afterAutospacing="1" w:line="240" w:lineRule="auto"/>
        <w:ind w:left="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Территория Байкальского сельсовета относится к зоне с устойчивым залеганием снежного покрова. Его появление отмечается в конце октября. Устойчивый снежный покров начинает разрушаться во второй декаде апреля. Число дней со снежным покровом за зимний период – 169. Промерзание почвы, несмотря на суровые зимние условия, относительно неглубокое. Среднемноголетнее значение из максимальных глубин за зимний период – </w:t>
      </w:r>
      <w:smartTag w:uri="urn:schemas-microsoft-com:office:smarttags" w:element="metricconverter">
        <w:smartTagPr>
          <w:attr w:name="ProductID" w:val="41 см"/>
        </w:smartTagPr>
        <w:r>
          <w:rPr>
            <w:rFonts w:ascii="Times New Roman" w:hAnsi="Times New Roman" w:cs="Times New Roman"/>
            <w:sz w:val="28"/>
            <w:szCs w:val="28"/>
          </w:rPr>
          <w:t>41 см</w:t>
        </w:r>
      </w:smartTag>
      <w:r>
        <w:rPr>
          <w:rFonts w:ascii="Times New Roman" w:hAnsi="Times New Roman" w:cs="Times New Roman"/>
          <w:sz w:val="28"/>
          <w:szCs w:val="28"/>
        </w:rPr>
        <w:t>.</w:t>
      </w:r>
    </w:p>
    <w:p w:rsidR="00A00477" w:rsidRDefault="00A00477" w:rsidP="00A00477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 преобладают ветры юго-западного и южного направления. Скорость ветров в среднем составляет 3,4 м/с. Количество дней со штилем составляет 14%. 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Среднегодовое количество осадков составляет </w:t>
      </w:r>
      <w:smartTag w:uri="urn:schemas-microsoft-com:office:smarttags" w:element="metricconverter">
        <w:smartTagPr>
          <w:attr w:name="ProductID" w:val="537 мм"/>
        </w:smartTagPr>
        <w:r>
          <w:rPr>
            <w:rFonts w:ascii="Times New Roman" w:hAnsi="Times New Roman" w:cs="Times New Roman"/>
            <w:sz w:val="28"/>
            <w:szCs w:val="28"/>
          </w:rPr>
          <w:t>537 мм</w:t>
        </w:r>
      </w:smartTag>
      <w:r>
        <w:rPr>
          <w:rFonts w:ascii="Times New Roman" w:hAnsi="Times New Roman" w:cs="Times New Roman"/>
          <w:sz w:val="28"/>
          <w:szCs w:val="28"/>
        </w:rPr>
        <w:t>. Максимум приходится на летние месяцы.</w:t>
      </w:r>
    </w:p>
    <w:p w:rsidR="00A00477" w:rsidRDefault="00A00477" w:rsidP="00A004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Территория Байкальского сельсовета относящаяся к возвышенности Сокур представляет собой гряду холмов, сложенных сланцами и песчаниками, </w:t>
      </w:r>
      <w:r>
        <w:rPr>
          <w:rFonts w:ascii="Times New Roman" w:hAnsi="Times New Roman" w:cs="Times New Roman"/>
          <w:sz w:val="28"/>
          <w:szCs w:val="28"/>
        </w:rPr>
        <w:lastRenderedPageBreak/>
        <w:t>перекрытыми рыхлыми четвертичными отложениями. Уклоны земной поверхности на большей части Байкальского сельсовета не превышают 1°. В юго-восточной части 2-5°. В центре района встречаются участки с уклоном земной поверхности 5-10°. На территории района много балок и оврагов, что создает благоприятные условия для развития водной эрозии. Водная эрозия проявляется при поверхностном стоке талых и дождевых вод.</w:t>
      </w:r>
    </w:p>
    <w:p w:rsidR="00A00477" w:rsidRDefault="00A00477" w:rsidP="00A004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Рельеф является одним из ведущих факторов в почвообразовательном процессе. Повышенные части рельефа – увалы и пологи склоны заняты темно-серыми и серыми лесными оподзоленными почвами. На крутых склонах формируются серые и светло-серые лесные почвы. На пониженных элементах рельефа – луговые, черноземно-луговые и лугово-черноземные почвы.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долинах рек залегают болотные и аллювиальные почвы</w:t>
      </w:r>
    </w:p>
    <w:p w:rsidR="00A00477" w:rsidRDefault="00A00477" w:rsidP="00A004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Байкальского сельсовета протекает река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Баксон</w:t>
      </w:r>
      <w:proofErr w:type="spellEnd"/>
      <w:r>
        <w:rPr>
          <w:rFonts w:ascii="Times New Roman" w:hAnsi="Times New Roman" w:cs="Times New Roman"/>
          <w:sz w:val="28"/>
          <w:szCs w:val="28"/>
        </w:rPr>
        <w:t>, Ельцовка, Тула. Реки имею весеннее половодье и паводок.</w:t>
      </w:r>
    </w:p>
    <w:p w:rsidR="00A00477" w:rsidRDefault="00A00477" w:rsidP="00A004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фазой рек сельсовета является половодье, в период которого проходит 60-90 % годового стока. Основным источником питания рек в период половодья по всей территории являются твердые осадки. Снеговой сток составляет 75-100 %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>, дождевого 0-10 %, грунтовый – 0-20 %. Суммарный весенний сток составляет 70-95 % годового.</w:t>
      </w:r>
    </w:p>
    <w:p w:rsidR="00A00477" w:rsidRDefault="00A00477" w:rsidP="00A004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прохождения половодья на всех реках территории с июня по октябрь устанавливается летне-осенняя межень. Наименьшие расходы воды приходится, как правило, на август-сентябрь.</w:t>
      </w:r>
    </w:p>
    <w:p w:rsidR="00A00477" w:rsidRDefault="00A00477" w:rsidP="00A00477">
      <w:pPr>
        <w:tabs>
          <w:tab w:val="left" w:pos="9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Территория Байкальского сельсовета относится к северо-восточной  части района: подземные воды приурочены к верхней трещиноватой зоне вулканогенно-осадочных пород долин рек и залегают на глубине до </w:t>
      </w:r>
      <w:smartTag w:uri="urn:schemas-microsoft-com:office:smarttags" w:element="metricconverter">
        <w:smartTagPr>
          <w:attr w:name="ProductID" w:val="150 м"/>
        </w:smartTagPr>
        <w:r>
          <w:rPr>
            <w:rFonts w:ascii="Times New Roman" w:hAnsi="Times New Roman" w:cs="Times New Roman"/>
            <w:sz w:val="28"/>
            <w:szCs w:val="28"/>
          </w:rPr>
          <w:t>150 м</w:t>
        </w:r>
      </w:smartTag>
      <w:r>
        <w:rPr>
          <w:rFonts w:ascii="Times New Roman" w:hAnsi="Times New Roman" w:cs="Times New Roman"/>
          <w:sz w:val="28"/>
          <w:szCs w:val="28"/>
        </w:rPr>
        <w:t>, воды напорные с высотой напора 2-</w:t>
      </w:r>
      <w:smartTag w:uri="urn:schemas-microsoft-com:office:smarttags" w:element="metricconverter">
        <w:smartTagPr>
          <w:attr w:name="ProductID" w:val="95 м"/>
        </w:smartTagPr>
        <w:r>
          <w:rPr>
            <w:rFonts w:ascii="Times New Roman" w:hAnsi="Times New Roman" w:cs="Times New Roman"/>
            <w:sz w:val="28"/>
            <w:szCs w:val="28"/>
          </w:rPr>
          <w:t>95 м</w:t>
        </w:r>
      </w:smartTag>
      <w:r>
        <w:rPr>
          <w:rFonts w:ascii="Times New Roman" w:hAnsi="Times New Roman" w:cs="Times New Roman"/>
          <w:sz w:val="28"/>
          <w:szCs w:val="28"/>
        </w:rPr>
        <w:t>, максимальные дебиты скважин до 5,5 л/сек. Возможная производительность групповых водозаборов 1000-3000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/сутки, минерализация – 0,2-0,8 г/л.</w:t>
      </w:r>
      <w:proofErr w:type="gramEnd"/>
    </w:p>
    <w:p w:rsidR="00A00477" w:rsidRDefault="00A00477" w:rsidP="00A0047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Почвенный покров на территории Байкальского сельсовета сложный ввиду разнообразия условий формирования почв и характеризуется комплексностью и мозаичностью. В нем отражается многообразие взаимно сочетающихся различных процессов прошлого и современного почвообразования, определяющих существование следующих генетических типов почв: серые лесные, черноземные. Минимальную площадь занимают дерново-подзолистые и болотные почвы.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A00477" w:rsidRDefault="00A00477" w:rsidP="00A0047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1.2. Административное деление, население и населенные пункты Байкальского сельсовета</w:t>
      </w:r>
    </w:p>
    <w:p w:rsidR="00A00477" w:rsidRDefault="00A00477" w:rsidP="00A0047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 состоянию на 01.10.2016 г. в границах Байкальского сельсовета находятся 3 (три) населенных пункта — д. Байкал, д. Вознесенка, д. Малиновка.</w:t>
      </w:r>
    </w:p>
    <w:p w:rsidR="00A00477" w:rsidRDefault="00A00477" w:rsidP="00A0047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Административный центр сельского поселения д. Байкал.</w:t>
      </w:r>
    </w:p>
    <w:p w:rsidR="00A00477" w:rsidRDefault="00A00477" w:rsidP="00A0047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Характеристика потребителей тепловой энергии, теплоснабжающих объектов и протяженность тепловых сетей</w:t>
      </w:r>
    </w:p>
    <w:p w:rsidR="00A00477" w:rsidRDefault="00A00477" w:rsidP="00A0047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A0"/>
      </w:tblPr>
      <w:tblGrid>
        <w:gridCol w:w="1871"/>
        <w:gridCol w:w="1567"/>
        <w:gridCol w:w="2163"/>
        <w:gridCol w:w="1105"/>
        <w:gridCol w:w="1421"/>
        <w:gridCol w:w="1794"/>
      </w:tblGrid>
      <w:tr w:rsidR="00A00477" w:rsidTr="00A00477">
        <w:trPr>
          <w:tblHeader/>
          <w:tblCellSpacing w:w="0" w:type="dxa"/>
        </w:trPr>
        <w:tc>
          <w:tcPr>
            <w:tcW w:w="2700" w:type="dxa"/>
            <w:vMerge w:val="restart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1275" w:type="dxa"/>
            <w:vMerge w:val="restart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Число потребителей тепловой энергии</w:t>
            </w:r>
          </w:p>
        </w:tc>
        <w:tc>
          <w:tcPr>
            <w:tcW w:w="1410" w:type="dxa"/>
            <w:vMerge w:val="restart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Число</w:t>
            </w:r>
          </w:p>
          <w:p w:rsidR="00A00477" w:rsidRDefault="00A0047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теплоснабжающих объектов</w:t>
            </w:r>
          </w:p>
          <w:p w:rsidR="00A00477" w:rsidRDefault="00A0047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(котельных)</w:t>
            </w:r>
          </w:p>
        </w:tc>
        <w:tc>
          <w:tcPr>
            <w:tcW w:w="2550" w:type="dxa"/>
            <w:gridSpan w:val="2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Потребляемое горючее</w:t>
            </w:r>
          </w:p>
        </w:tc>
        <w:tc>
          <w:tcPr>
            <w:tcW w:w="1440" w:type="dxa"/>
            <w:vMerge w:val="restart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Протяженность тепловых сетей</w:t>
            </w:r>
          </w:p>
          <w:p w:rsidR="00A00477" w:rsidRDefault="00A0047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(м)</w:t>
            </w:r>
          </w:p>
        </w:tc>
      </w:tr>
      <w:tr w:rsidR="00A00477" w:rsidTr="00A00477">
        <w:trPr>
          <w:tblHeader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Газ/мазут</w:t>
            </w:r>
          </w:p>
        </w:tc>
        <w:tc>
          <w:tcPr>
            <w:tcW w:w="127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Уголь/дрова</w:t>
            </w:r>
          </w:p>
        </w:tc>
        <w:tc>
          <w:tcPr>
            <w:tcW w:w="0" w:type="auto"/>
            <w:vMerge/>
            <w:vAlign w:val="center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0477" w:rsidTr="00A00477">
        <w:trPr>
          <w:tblCellSpacing w:w="0" w:type="dxa"/>
        </w:trPr>
        <w:tc>
          <w:tcPr>
            <w:tcW w:w="2700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Байкальский </w:t>
            </w:r>
          </w:p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сельсовет</w:t>
            </w:r>
          </w:p>
        </w:tc>
        <w:tc>
          <w:tcPr>
            <w:tcW w:w="1275" w:type="dxa"/>
            <w:vAlign w:val="bottom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0" w:type="dxa"/>
            <w:vAlign w:val="bottom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  <w:vAlign w:val="bottom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  <w:vAlign w:val="bottom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1440" w:type="dxa"/>
            <w:vAlign w:val="bottom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</w:tc>
      </w:tr>
    </w:tbl>
    <w:p w:rsidR="00A00477" w:rsidRDefault="00A00477" w:rsidP="00A0047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Источники топлива</w:t>
      </w:r>
    </w:p>
    <w:p w:rsidR="00557408" w:rsidRDefault="00A00477" w:rsidP="00A0047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Потребности в топливе удовлетворяются за счет  поставки угля и электроэнергии.</w:t>
      </w:r>
    </w:p>
    <w:p w:rsidR="00A00477" w:rsidRDefault="00A00477" w:rsidP="00A0047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Риски возникновения аварий, масштабы и последствия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A0"/>
      </w:tblPr>
      <w:tblGrid>
        <w:gridCol w:w="1701"/>
        <w:gridCol w:w="2381"/>
        <w:gridCol w:w="2410"/>
        <w:gridCol w:w="1946"/>
        <w:gridCol w:w="1483"/>
      </w:tblGrid>
      <w:tr w:rsidR="00A00477" w:rsidTr="00A00477">
        <w:trPr>
          <w:tblHeader/>
          <w:tblCellSpacing w:w="0" w:type="dxa"/>
        </w:trPr>
        <w:tc>
          <w:tcPr>
            <w:tcW w:w="184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 аварии</w:t>
            </w:r>
          </w:p>
        </w:tc>
        <w:tc>
          <w:tcPr>
            <w:tcW w:w="226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Причина возникновения аварии</w:t>
            </w:r>
          </w:p>
        </w:tc>
        <w:tc>
          <w:tcPr>
            <w:tcW w:w="2550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Масштаб аварии и последствия</w:t>
            </w:r>
          </w:p>
        </w:tc>
        <w:tc>
          <w:tcPr>
            <w:tcW w:w="184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Уровень реагирования</w:t>
            </w:r>
          </w:p>
        </w:tc>
        <w:tc>
          <w:tcPr>
            <w:tcW w:w="142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A00477" w:rsidTr="00A00477">
        <w:trPr>
          <w:tblCellSpacing w:w="0" w:type="dxa"/>
        </w:trPr>
        <w:tc>
          <w:tcPr>
            <w:tcW w:w="184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Остановка котельной</w:t>
            </w:r>
          </w:p>
        </w:tc>
        <w:tc>
          <w:tcPr>
            <w:tcW w:w="226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Прекращение подачи электроэнергии</w:t>
            </w:r>
          </w:p>
        </w:tc>
        <w:tc>
          <w:tcPr>
            <w:tcW w:w="2550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Прекращение циркуляции воды в систему отопления всех потребителей, понижение температуры в зданиях и домах, размораживание тепловых сетей и отопительных батарей</w:t>
            </w:r>
          </w:p>
        </w:tc>
        <w:tc>
          <w:tcPr>
            <w:tcW w:w="184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муниципальный</w:t>
            </w:r>
          </w:p>
        </w:tc>
        <w:tc>
          <w:tcPr>
            <w:tcW w:w="142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00477" w:rsidTr="00A00477">
        <w:trPr>
          <w:tblCellSpacing w:w="0" w:type="dxa"/>
        </w:trPr>
        <w:tc>
          <w:tcPr>
            <w:tcW w:w="184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Остановка котельной</w:t>
            </w:r>
          </w:p>
        </w:tc>
        <w:tc>
          <w:tcPr>
            <w:tcW w:w="226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Прекращение подачи топлива</w:t>
            </w:r>
          </w:p>
        </w:tc>
        <w:tc>
          <w:tcPr>
            <w:tcW w:w="2550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Прекращение подачи горячей воды в систему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отопления всех потребителей, понижение температуры в зданиях и домах.</w:t>
            </w:r>
          </w:p>
        </w:tc>
        <w:tc>
          <w:tcPr>
            <w:tcW w:w="184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локальный</w:t>
            </w:r>
          </w:p>
        </w:tc>
        <w:tc>
          <w:tcPr>
            <w:tcW w:w="142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00477" w:rsidTr="00A00477">
        <w:trPr>
          <w:tblCellSpacing w:w="0" w:type="dxa"/>
        </w:trPr>
        <w:tc>
          <w:tcPr>
            <w:tcW w:w="184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Порыв тепловых сетей</w:t>
            </w:r>
          </w:p>
        </w:tc>
        <w:tc>
          <w:tcPr>
            <w:tcW w:w="226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Предельный износ сетей, гидродинамические удары</w:t>
            </w:r>
          </w:p>
          <w:p w:rsidR="00A00477" w:rsidRDefault="00A0047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0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Прекращение подачи горячей воды в систему отопления всех потребителей,  понижение температуры в зданиях и домах, размораживание тепловых сетей и отопительных батарей</w:t>
            </w:r>
          </w:p>
        </w:tc>
        <w:tc>
          <w:tcPr>
            <w:tcW w:w="184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муниципальный</w:t>
            </w:r>
          </w:p>
        </w:tc>
        <w:tc>
          <w:tcPr>
            <w:tcW w:w="1425" w:type="dxa"/>
            <w:hideMark/>
          </w:tcPr>
          <w:p w:rsidR="00A00477" w:rsidRDefault="00A004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A00477" w:rsidRDefault="00A00477" w:rsidP="00A0047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Выводы из обстановки.       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                </w:t>
      </w:r>
      <w:r>
        <w:rPr>
          <w:rFonts w:ascii="Times New Roman" w:hAnsi="Times New Roman" w:cs="Times New Roman"/>
          <w:sz w:val="28"/>
          <w:szCs w:val="28"/>
          <w:lang w:eastAsia="ru-RU"/>
        </w:rPr>
        <w:t>Наиболее вероятными причинами возникновения аварий и сбоев в работе могут   послужить:</w:t>
      </w:r>
    </w:p>
    <w:p w:rsidR="00A00477" w:rsidRDefault="00A00477" w:rsidP="00A0047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-перебои в подаче электроэнергии;</w:t>
      </w:r>
    </w:p>
    <w:p w:rsidR="00A00477" w:rsidRDefault="00A00477" w:rsidP="00A0047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-износ оборудования;</w:t>
      </w:r>
    </w:p>
    <w:p w:rsidR="00A00477" w:rsidRDefault="00A00477" w:rsidP="00A0047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-неблагоприятные погодно-климатические явления;</w:t>
      </w:r>
    </w:p>
    <w:p w:rsidR="00A00477" w:rsidRDefault="00A00477" w:rsidP="00A0047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-человеческий фактор.</w:t>
      </w:r>
    </w:p>
    <w:p w:rsidR="00A00477" w:rsidRDefault="00557408" w:rsidP="00A0047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A00477">
        <w:rPr>
          <w:rFonts w:ascii="Times New Roman" w:hAnsi="Times New Roman" w:cs="Times New Roman"/>
          <w:sz w:val="28"/>
          <w:szCs w:val="28"/>
          <w:lang w:eastAsia="ru-RU"/>
        </w:rPr>
        <w:t>аздел 2</w:t>
      </w:r>
    </w:p>
    <w:p w:rsidR="00A00477" w:rsidRDefault="00A00477" w:rsidP="00A0047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Организация работ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2.2. Организация управления ликвидацией аварий на тепло-производящих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                 </w:t>
      </w:r>
      <w:r>
        <w:rPr>
          <w:rFonts w:ascii="Times New Roman" w:hAnsi="Times New Roman" w:cs="Times New Roman"/>
          <w:sz w:val="28"/>
          <w:szCs w:val="28"/>
          <w:lang w:eastAsia="ru-RU"/>
        </w:rPr>
        <w:t>объектах и тепловых сетях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Координацию работ по ликвидации аварии на  муниципальном уровне осуществляет комиссия по предупреждению и ликвидации чрезвычайных ситуаций и обеспечению пожарной безопасности Байкальского сельсовета, на объектовом уровне – руководитель организации, осуществляющей эксплуатацию объекта.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Органами повседневного управления территориальной подсистемы являются: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межмуниципальном уровне — единая дежурно-диспетчерская служба (далее — ЕДДС) Болотнинского муниципального района по вопросам сбора, обработки и обмена информации, оперативного реагирования и координации совместных действий дежурно-диспетчерских и аварийно-диспетчерских служб (далее — ДДС, АДС) организаций, расположенных на территории муниципального района, оперативного управления силами и средствами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аврийно-спасательных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других сил постоянной готовности в условиях чрезвычайной ситуации (далее — ЧС).</w:t>
      </w:r>
      <w:proofErr w:type="gramEnd"/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муниципальном уровне – ответственный специалист муниципального образования;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объектовом уровне – дежурно-диспетчерские службы  организаций (объектов).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Размещение органов повседневного управления осуществляется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>на стационарных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2.3. Силы и средства для ликвидации аварий тепло-производящих объектов и тепловых сетей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В режиме повседневной деятельности на объектах ЖКХ осуществляется дежурство специалистов, операторами  котельных.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Время готовности к работам по ликвидации аварии- 45 мин.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 возникновении крупномасштабной аварии, срок ликвидации последствий более 12 часов.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Резервы финансовых и материальных ресурсов для ликвидации чрезвычайных ситуаций и их последствий.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Для ликвидации аварий создаются и используются: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резервы финансовых и материальных ресурсов администрации Байкальского сельсовета, резервы финансовых материальных ресурсов организаций.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Объемы резервов финансовых ресурсов (резервных фондов) определяются ежегодно и утверждаются нормативным правовым актом и должны обеспечивать проведение аварийно-восстановительных работ в нормативные сроки.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2.4. Порядок действий по ликвидации аварий на тепло-производящих объектах и тепловых сетях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зависимости от вида и масштаба аварии принимаются неотложные меры по проведению ремонтно-восстановительных и других работ направленных на недопущение размораживания систем теплоснабжения и скорейшую подачу тепла в дома с центральным отоплением и социально значимые объекты.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Планирование и организация ремонтно-восстановительных работ на тепло-производящих объектах (далее — ТПО) и тепловых сетях (далее – ТС) осуществляется руководством организации, эксплуатирующей ТПО (ТС).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Принятию решения на ликвидацию аварии предшествует оценка сложившейся обстановки, масштаба аварии и возможных последствий.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Работы проводятся на основании нормативных и распорядительных документов оформляемых организатором работ.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работам привлекаются аварийно — ремонтные бригады, специальная техника и оборудование организаций, в ведении которых находятся ТПО (ТС) в круглосуточном режиме, посменно.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причинах аварии, масштабах и возможных последствиях, планируемых сроках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ремонтно-восстановительных работ, привлекаемых силах и средствах руководитель работ информирует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ЕДДС Болотнинского муниципального района не позднее 20 мин. с момента происшествия, ЧС, администрацию муниципального образования.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сложившейся обстановке население информируется администрацией Байкальского сельсовета через местную систему оповещения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>и информирования.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случае необходимости привлечения дополнительных сил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>и сре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дств к р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аботам, руководитель работ докладывает Главе Байкальского сельсовета, председателю комиссии по предупреждению и ликвидации чрезвычайных ситуаций и обеспечению пожарной безопасности Байкальского сельсовета, ЕДДС Болотнинского муниципального района.</w:t>
      </w:r>
    </w:p>
    <w:p w:rsidR="00A00477" w:rsidRDefault="00A00477" w:rsidP="00A00477">
      <w:pPr>
        <w:spacing w:before="100" w:beforeAutospacing="1" w:after="100" w:afterAutospacing="1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 угрозе возникновения чрезвычайной ситуации в результате аварии (аварийном отключении коммунально-технических систем жизнеобеспечения населения в жилых кварталах на сутки и более, а также в условиях критически низких температур окружающего воздуха) работы координирует комиссия по предупреждению и ликвидации чрезвычайных ситуаций и обеспечению пожарной безопасности Байкальского сельсовета.</w:t>
      </w:r>
      <w:bookmarkStart w:id="0" w:name="_GoBack"/>
      <w:bookmarkEnd w:id="0"/>
    </w:p>
    <w:p w:rsidR="00030982" w:rsidRDefault="00030982"/>
    <w:sectPr w:rsidR="00030982" w:rsidSect="00A0047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D46C9"/>
    <w:multiLevelType w:val="multilevel"/>
    <w:tmpl w:val="A8CC1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5CB3CDA"/>
    <w:multiLevelType w:val="multilevel"/>
    <w:tmpl w:val="7C4E5F5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2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0477"/>
    <w:rsid w:val="00030982"/>
    <w:rsid w:val="00111F9F"/>
    <w:rsid w:val="00557408"/>
    <w:rsid w:val="006B1864"/>
    <w:rsid w:val="00A00477"/>
    <w:rsid w:val="00AA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477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6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1792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Байкал</cp:lastModifiedBy>
  <cp:revision>2</cp:revision>
  <cp:lastPrinted>2018-10-03T08:41:00Z</cp:lastPrinted>
  <dcterms:created xsi:type="dcterms:W3CDTF">2018-10-03T09:01:00Z</dcterms:created>
  <dcterms:modified xsi:type="dcterms:W3CDTF">2018-10-03T09:01:00Z</dcterms:modified>
</cp:coreProperties>
</file>